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38" w:rsidRPr="0023070E" w:rsidRDefault="00754438" w:rsidP="00754438">
      <w:pPr>
        <w:jc w:val="center"/>
        <w:rPr>
          <w:rFonts w:eastAsia="Times New Roman" w:cs="Times New Roman"/>
          <w:b/>
          <w:color w:val="222222"/>
          <w:kern w:val="36"/>
          <w:szCs w:val="28"/>
          <w:lang w:eastAsia="ru-RU"/>
        </w:rPr>
      </w:pPr>
      <w:r w:rsidRPr="0023070E">
        <w:rPr>
          <w:rFonts w:eastAsia="Times New Roman" w:cs="Times New Roman"/>
          <w:b/>
          <w:color w:val="222222"/>
          <w:kern w:val="36"/>
          <w:szCs w:val="28"/>
          <w:lang w:eastAsia="ru-RU"/>
        </w:rPr>
        <w:t xml:space="preserve">Дайджест Министерства энергетики Московской области </w:t>
      </w:r>
    </w:p>
    <w:p w:rsidR="00754438" w:rsidRPr="0023070E" w:rsidRDefault="00754438" w:rsidP="00754438">
      <w:pPr>
        <w:jc w:val="center"/>
        <w:rPr>
          <w:rFonts w:eastAsia="Times New Roman" w:cs="Times New Roman"/>
          <w:b/>
          <w:color w:val="222222"/>
          <w:kern w:val="36"/>
          <w:szCs w:val="28"/>
          <w:lang w:eastAsia="ru-RU"/>
        </w:rPr>
      </w:pPr>
      <w:r w:rsidRPr="0023070E">
        <w:rPr>
          <w:rFonts w:eastAsia="Times New Roman" w:cs="Times New Roman"/>
          <w:b/>
          <w:color w:val="222222"/>
          <w:kern w:val="36"/>
          <w:szCs w:val="28"/>
          <w:lang w:eastAsia="ru-RU"/>
        </w:rPr>
        <w:t>за период с 16-20 мая 2016</w:t>
      </w:r>
    </w:p>
    <w:p w:rsidR="00754438" w:rsidRPr="0023070E" w:rsidRDefault="00754438" w:rsidP="00754438">
      <w:pPr>
        <w:jc w:val="center"/>
        <w:rPr>
          <w:rFonts w:eastAsia="Times New Roman" w:cs="Times New Roman"/>
          <w:b/>
          <w:color w:val="222222"/>
          <w:kern w:val="36"/>
          <w:sz w:val="24"/>
          <w:szCs w:val="24"/>
          <w:lang w:eastAsia="ru-RU"/>
        </w:rPr>
      </w:pPr>
    </w:p>
    <w:p w:rsidR="00754438" w:rsidRPr="0023070E" w:rsidRDefault="00754438" w:rsidP="00754438">
      <w:pPr>
        <w:pStyle w:val="1"/>
        <w:shd w:val="clear" w:color="auto" w:fill="FFFFFF"/>
        <w:spacing w:before="0" w:beforeAutospacing="0" w:after="150" w:afterAutospacing="0" w:line="420" w:lineRule="atLeast"/>
        <w:textAlignment w:val="baseline"/>
        <w:rPr>
          <w:bCs w:val="0"/>
          <w:color w:val="222222"/>
          <w:sz w:val="28"/>
          <w:szCs w:val="28"/>
        </w:rPr>
      </w:pPr>
      <w:r w:rsidRPr="0023070E">
        <w:rPr>
          <w:bCs w:val="0"/>
          <w:color w:val="222222"/>
          <w:sz w:val="28"/>
          <w:szCs w:val="28"/>
        </w:rPr>
        <w:t>Количество заявлений о выдаче разрешения на размещение объектов энергетической инфраструктуры через МФЦ увеличилось на 58%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>Министерство энергетики Московской области провело мониторинг реализации в Подмосковье постановления Правительства Московской области о порядке размещения объектов, которые могут быть размещены на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части размещения объектов электроэнергетики и газоснабжения.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 xml:space="preserve">В соответствии с данным постановлением решение о выдаче или об отказе в выдаче разрешения на размещение объектов энергетической инфраструктуры принимается уполномоченным органом, таким как </w:t>
      </w:r>
      <w:proofErr w:type="spellStart"/>
      <w:r w:rsidRPr="0023070E">
        <w:rPr>
          <w:color w:val="222222"/>
        </w:rPr>
        <w:t>Мособлгаз</w:t>
      </w:r>
      <w:proofErr w:type="spellEnd"/>
      <w:r w:rsidRPr="0023070E">
        <w:rPr>
          <w:color w:val="222222"/>
        </w:rPr>
        <w:t xml:space="preserve">, МОЭСК, </w:t>
      </w:r>
      <w:bookmarkStart w:id="0" w:name="_GoBack"/>
      <w:bookmarkEnd w:id="0"/>
      <w:proofErr w:type="spellStart"/>
      <w:r w:rsidRPr="0023070E">
        <w:rPr>
          <w:color w:val="222222"/>
        </w:rPr>
        <w:t>Мособлэнерго</w:t>
      </w:r>
      <w:proofErr w:type="spellEnd"/>
      <w:r w:rsidRPr="0023070E">
        <w:rPr>
          <w:color w:val="222222"/>
        </w:rPr>
        <w:t xml:space="preserve"> и направляется заявителю в течение 10 дней.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 xml:space="preserve">Так, в первом квартале 2016 года сетевые компании и </w:t>
      </w:r>
      <w:proofErr w:type="spellStart"/>
      <w:r w:rsidRPr="0023070E">
        <w:rPr>
          <w:color w:val="222222"/>
        </w:rPr>
        <w:t>Мособлгаз</w:t>
      </w:r>
      <w:proofErr w:type="spellEnd"/>
      <w:r w:rsidRPr="0023070E">
        <w:rPr>
          <w:color w:val="222222"/>
        </w:rPr>
        <w:t xml:space="preserve"> направили заявителям 976 таких разрешений. Из них 572 разрешения на размещение объектов электроэнергетики и 404 – на размещение объектов газоснабжения.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 xml:space="preserve">Из общего количества заявлений почти 80% подано через МФЦ, остальные поданы лично в уполномоченный орган. «По сравнению с аналогичным периодом прошлого года, процент заявок, поданных через МФЦ, увеличился на 58%, что, безусловно, является положительным показателем», – отметил министр энергетики Московской области Леонид </w:t>
      </w:r>
      <w:proofErr w:type="spellStart"/>
      <w:r w:rsidRPr="0023070E">
        <w:rPr>
          <w:color w:val="222222"/>
        </w:rPr>
        <w:t>Неганов</w:t>
      </w:r>
      <w:proofErr w:type="spellEnd"/>
      <w:r w:rsidRPr="0023070E">
        <w:rPr>
          <w:color w:val="222222"/>
        </w:rPr>
        <w:t>.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>Наибольшее количество выданных разрешений с нарушением срока через МФЦ в Орехово-Зуевском районе – 39 шт. Также разрешения с нарушением срока были выданы в Чеховском, Воскресенском, Луховицком и Раменском муниципальных районах. </w:t>
      </w:r>
    </w:p>
    <w:p w:rsidR="00754438" w:rsidRPr="0023070E" w:rsidRDefault="00754438" w:rsidP="00754438">
      <w:pPr>
        <w:pStyle w:val="1"/>
        <w:shd w:val="clear" w:color="auto" w:fill="FFFFFF"/>
        <w:spacing w:before="0" w:beforeAutospacing="0" w:after="150" w:afterAutospacing="0" w:line="420" w:lineRule="atLeast"/>
        <w:textAlignment w:val="baseline"/>
        <w:rPr>
          <w:bCs w:val="0"/>
          <w:color w:val="222222"/>
          <w:sz w:val="28"/>
          <w:szCs w:val="28"/>
        </w:rPr>
      </w:pPr>
      <w:r>
        <w:rPr>
          <w:bCs w:val="0"/>
          <w:color w:val="222222"/>
          <w:sz w:val="28"/>
          <w:szCs w:val="28"/>
        </w:rPr>
        <w:t>В Минэнерго</w:t>
      </w:r>
      <w:r w:rsidRPr="0023070E">
        <w:rPr>
          <w:bCs w:val="0"/>
          <w:color w:val="222222"/>
          <w:sz w:val="28"/>
          <w:szCs w:val="28"/>
        </w:rPr>
        <w:t xml:space="preserve"> </w:t>
      </w:r>
      <w:r>
        <w:rPr>
          <w:bCs w:val="0"/>
          <w:color w:val="222222"/>
          <w:sz w:val="28"/>
          <w:szCs w:val="28"/>
        </w:rPr>
        <w:t>МО</w:t>
      </w:r>
      <w:r w:rsidRPr="0023070E">
        <w:rPr>
          <w:bCs w:val="0"/>
          <w:color w:val="222222"/>
          <w:sz w:val="28"/>
          <w:szCs w:val="28"/>
        </w:rPr>
        <w:t xml:space="preserve"> началось детальное рассмотрение 540 значимых для региона объектов для технологического присоединения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>Министерство энергетики Московской области в ручном режиме ведет сопровождение технологического присоединения к энергетической инфраструктуре значимых для региона инвестиционных, социальных и сельскохозяйственных объектов Московской области. 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 xml:space="preserve">11 мая текущего года началось детальное </w:t>
      </w:r>
      <w:proofErr w:type="spellStart"/>
      <w:r w:rsidRPr="0023070E">
        <w:rPr>
          <w:color w:val="222222"/>
        </w:rPr>
        <w:t>пообъектное</w:t>
      </w:r>
      <w:proofErr w:type="spellEnd"/>
      <w:r w:rsidRPr="0023070E">
        <w:rPr>
          <w:color w:val="222222"/>
        </w:rPr>
        <w:t xml:space="preserve"> рассмотрение указанных объектов с участием представителей муниципальных образований, инвесторов, всех заинтересованных министерств Московской области и представителей </w:t>
      </w:r>
      <w:proofErr w:type="spellStart"/>
      <w:r w:rsidRPr="0023070E">
        <w:rPr>
          <w:color w:val="222222"/>
        </w:rPr>
        <w:t>энергоресурсных</w:t>
      </w:r>
      <w:proofErr w:type="spellEnd"/>
      <w:r w:rsidRPr="0023070E">
        <w:rPr>
          <w:color w:val="222222"/>
        </w:rPr>
        <w:t xml:space="preserve">  организаций. Всего за 3 недели будет рассмотрено 540 таких объектов, которые планируется подключить в 2016 году.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 xml:space="preserve">«Проводимые совещания-пропуски позволяют выявить существующие проблемы технологического присоединения к энергетической инфраструктуре значимых для Московской области объектов, наметить пути их решения, что также позволит сократить сроки их подключения», – отметил министр энергетики Московской области Леонид </w:t>
      </w:r>
      <w:proofErr w:type="spellStart"/>
      <w:r w:rsidRPr="0023070E">
        <w:rPr>
          <w:color w:val="222222"/>
        </w:rPr>
        <w:t>Неганов</w:t>
      </w:r>
      <w:proofErr w:type="spellEnd"/>
      <w:r w:rsidRPr="0023070E">
        <w:rPr>
          <w:color w:val="222222"/>
        </w:rPr>
        <w:t>.</w:t>
      </w:r>
    </w:p>
    <w:p w:rsidR="00754438" w:rsidRPr="0023070E" w:rsidRDefault="00754438" w:rsidP="00754438">
      <w:pPr>
        <w:pStyle w:val="1"/>
        <w:shd w:val="clear" w:color="auto" w:fill="FFFFFF"/>
        <w:spacing w:before="0" w:beforeAutospacing="0" w:after="150" w:afterAutospacing="0" w:line="420" w:lineRule="atLeast"/>
        <w:textAlignment w:val="baseline"/>
        <w:rPr>
          <w:bCs w:val="0"/>
          <w:color w:val="222222"/>
          <w:sz w:val="28"/>
          <w:szCs w:val="28"/>
        </w:rPr>
      </w:pPr>
      <w:r w:rsidRPr="0023070E">
        <w:rPr>
          <w:bCs w:val="0"/>
          <w:color w:val="222222"/>
          <w:sz w:val="28"/>
          <w:szCs w:val="28"/>
        </w:rPr>
        <w:t>1637 светильников установят в военных городках в 2016 году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 xml:space="preserve">В рамках выполнения поручения Губернатора Московской области Андрея Воробьева специалисты Министерства энергетики Московской области провели анализ состояния  систем уличного освещения в военных городках, передаваемых на баланс муниципальных образований из </w:t>
      </w:r>
      <w:r w:rsidRPr="0023070E">
        <w:rPr>
          <w:color w:val="222222"/>
        </w:rPr>
        <w:lastRenderedPageBreak/>
        <w:t xml:space="preserve">Министерства обороны РФ, в которых требуется восстановление </w:t>
      </w:r>
      <w:proofErr w:type="spellStart"/>
      <w:r w:rsidRPr="0023070E">
        <w:rPr>
          <w:color w:val="222222"/>
        </w:rPr>
        <w:t>электросетевого</w:t>
      </w:r>
      <w:proofErr w:type="spellEnd"/>
      <w:r w:rsidRPr="0023070E">
        <w:rPr>
          <w:color w:val="222222"/>
        </w:rPr>
        <w:t xml:space="preserve"> оборудования, в том числе и уличного освещения. 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 xml:space="preserve">Всего таких городков 14 и расположены они в </w:t>
      </w:r>
      <w:proofErr w:type="spellStart"/>
      <w:r w:rsidRPr="0023070E">
        <w:rPr>
          <w:color w:val="222222"/>
        </w:rPr>
        <w:t>Клинском</w:t>
      </w:r>
      <w:proofErr w:type="spellEnd"/>
      <w:r w:rsidRPr="0023070E">
        <w:rPr>
          <w:color w:val="222222"/>
        </w:rPr>
        <w:t xml:space="preserve">, Ленинском, Ногинском, Одинцовском, Сергиево-Посадском, </w:t>
      </w:r>
      <w:proofErr w:type="spellStart"/>
      <w:r w:rsidRPr="0023070E">
        <w:rPr>
          <w:color w:val="222222"/>
        </w:rPr>
        <w:t>Истринском</w:t>
      </w:r>
      <w:proofErr w:type="spellEnd"/>
      <w:r w:rsidRPr="0023070E">
        <w:rPr>
          <w:color w:val="222222"/>
        </w:rPr>
        <w:t>, Пушкинском и Щелковском районах области.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 xml:space="preserve">«Для приведения систем наружного освещения в исправное состояние необходимо восстановить 1637 светильников, 1342 опоры освещения и произвести прокладку 119,6 км самонесущего изолированного провода», – отметил министр энергетики Московской области Леонид </w:t>
      </w:r>
      <w:proofErr w:type="spellStart"/>
      <w:r w:rsidRPr="0023070E">
        <w:rPr>
          <w:color w:val="222222"/>
        </w:rPr>
        <w:t>Неганов</w:t>
      </w:r>
      <w:proofErr w:type="spellEnd"/>
      <w:r w:rsidRPr="0023070E">
        <w:rPr>
          <w:color w:val="222222"/>
        </w:rPr>
        <w:t>.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>Ориентировочный объем финансирования указанных мероприятий по данным администраций муниципальных образований составит порядка 50 млн. рублей. С этой целью в настоящее время прорабатывается вопрос о выделении средств в рамках субсидий из областного бюджета на восстановление объектов инженерной инфраструктуры военных городков в 2016 году.</w:t>
      </w:r>
    </w:p>
    <w:p w:rsidR="00754438" w:rsidRPr="0023070E" w:rsidRDefault="00754438" w:rsidP="00754438">
      <w:pPr>
        <w:pStyle w:val="1"/>
        <w:shd w:val="clear" w:color="auto" w:fill="FFFFFF"/>
        <w:spacing w:before="0" w:beforeAutospacing="0" w:after="150" w:afterAutospacing="0" w:line="420" w:lineRule="atLeast"/>
        <w:textAlignment w:val="baseline"/>
        <w:rPr>
          <w:bCs w:val="0"/>
          <w:color w:val="222222"/>
          <w:sz w:val="28"/>
          <w:szCs w:val="28"/>
        </w:rPr>
      </w:pPr>
      <w:r w:rsidRPr="0023070E">
        <w:rPr>
          <w:bCs w:val="0"/>
          <w:color w:val="222222"/>
          <w:sz w:val="28"/>
          <w:szCs w:val="28"/>
        </w:rPr>
        <w:t>Мин</w:t>
      </w:r>
      <w:r>
        <w:rPr>
          <w:bCs w:val="0"/>
          <w:color w:val="222222"/>
          <w:sz w:val="28"/>
          <w:szCs w:val="28"/>
        </w:rPr>
        <w:t>энерго МО</w:t>
      </w:r>
      <w:r w:rsidRPr="0023070E">
        <w:rPr>
          <w:bCs w:val="0"/>
          <w:color w:val="222222"/>
          <w:sz w:val="28"/>
          <w:szCs w:val="28"/>
        </w:rPr>
        <w:t xml:space="preserve"> провело работу с 31 муниципальным образованием по улучшению ситуации с наружным освещением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>С февраля 2016 года через портал «</w:t>
      </w:r>
      <w:proofErr w:type="spellStart"/>
      <w:r w:rsidRPr="0023070E">
        <w:rPr>
          <w:color w:val="222222"/>
        </w:rPr>
        <w:t>Добродел</w:t>
      </w:r>
      <w:proofErr w:type="spellEnd"/>
      <w:r w:rsidRPr="0023070E">
        <w:rPr>
          <w:color w:val="222222"/>
        </w:rPr>
        <w:t>» поступило 3,6 тысяч обращений на нарушения в системе наружного освещения. Министерство энергетики Московской области проводит работу с муниципальными образованиями по принятию мер в целях снижения количества таких жалоб.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>В рамках данной работы еженедельно проводятся совещания с муниципальными образованиями и компаниями, обслуживающими системы наружного освещения. В настоящее время совещания прошли с 31 муниципальным образованием. 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 xml:space="preserve">«Анализ обращений граждан показывает, что в тех муниципальных  образованиях, в которых была проведена работа, количество жалоб значительно уменьшилось. Вместе с тем в целом по области количество обращений растет. Тревожная ситуация с данными обращениями сложилась в Чеховском, Солнечногорском, Раменском, Ленинском районах, а также в городских округах Звенигород и </w:t>
      </w:r>
      <w:proofErr w:type="spellStart"/>
      <w:r w:rsidRPr="0023070E">
        <w:rPr>
          <w:color w:val="222222"/>
        </w:rPr>
        <w:t>Балашиха</w:t>
      </w:r>
      <w:proofErr w:type="spellEnd"/>
      <w:r w:rsidRPr="0023070E">
        <w:rPr>
          <w:color w:val="222222"/>
        </w:rPr>
        <w:t xml:space="preserve">», – отметил министр энергетики Московской области Леонид </w:t>
      </w:r>
      <w:proofErr w:type="spellStart"/>
      <w:r w:rsidRPr="0023070E">
        <w:rPr>
          <w:color w:val="222222"/>
        </w:rPr>
        <w:t>Неганов</w:t>
      </w:r>
      <w:proofErr w:type="spellEnd"/>
      <w:r w:rsidRPr="0023070E">
        <w:rPr>
          <w:color w:val="222222"/>
        </w:rPr>
        <w:t>.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>По итогам совещаний с муниципальными образованиями разработаны дорожные карты по решению проблем с наружным освещением, проведен необходимый комплекс организационно-технических мероприятий, что в целом помогло улучшить ситуацию.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>Также для оперативного принятия мер в местных обслуживающих организациях проводится работа с гражданами по обращениям о выявленных нарушениях в освещении.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>Необходимо отметить, что в таких муниципальных образованиях как Лотошинский, Зарайский, Луховицкий районы и в городских округах Краснознаменск, Электрогорск, Восход практически отсутствуют жалобы жителей на состояние наружного освещения.</w:t>
      </w:r>
    </w:p>
    <w:p w:rsidR="00754438" w:rsidRPr="0023070E" w:rsidRDefault="00754438" w:rsidP="00754438">
      <w:pPr>
        <w:pStyle w:val="1"/>
        <w:shd w:val="clear" w:color="auto" w:fill="FFFFFF"/>
        <w:spacing w:before="0" w:beforeAutospacing="0" w:after="150" w:afterAutospacing="0" w:line="420" w:lineRule="atLeast"/>
        <w:textAlignment w:val="baseline"/>
        <w:rPr>
          <w:bCs w:val="0"/>
          <w:color w:val="222222"/>
          <w:sz w:val="28"/>
          <w:szCs w:val="28"/>
        </w:rPr>
      </w:pPr>
      <w:r w:rsidRPr="0023070E">
        <w:rPr>
          <w:bCs w:val="0"/>
          <w:color w:val="222222"/>
          <w:sz w:val="28"/>
          <w:szCs w:val="28"/>
        </w:rPr>
        <w:t>988,2 МВА трансформаторной мощности ввели ТСО Московской области в 2015 году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>В министерстве энергетики Московской области подвели итоги реализации инвестиционных программ в 2015 году всех территориальных сетевых организаций (ТСО) Подмосковья. 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 xml:space="preserve">В 2015 году в Московской области реализовывались инвестиционные программы 37 ТСО. За отчетный период энергетики ввели 988,2 МВА трансформаторной мощности при годовом плане 967,3 МВА, перевыполнив план на 2%. Протяженность введенных линий электропередачи </w:t>
      </w:r>
      <w:r w:rsidRPr="0023070E">
        <w:rPr>
          <w:color w:val="222222"/>
        </w:rPr>
        <w:lastRenderedPageBreak/>
        <w:t>составила 5,3 тыс. км, при годовом плане 4,5 тыс. км. Таким образом, данный показатель перевыполнен на 10%.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>Отметим, что в АО «</w:t>
      </w:r>
      <w:proofErr w:type="spellStart"/>
      <w:r w:rsidRPr="0023070E">
        <w:rPr>
          <w:color w:val="222222"/>
        </w:rPr>
        <w:t>Мособлэнерго</w:t>
      </w:r>
      <w:proofErr w:type="spellEnd"/>
      <w:r w:rsidRPr="0023070E">
        <w:rPr>
          <w:color w:val="222222"/>
        </w:rPr>
        <w:t>», ЗАО «</w:t>
      </w:r>
      <w:proofErr w:type="spellStart"/>
      <w:r w:rsidRPr="0023070E">
        <w:rPr>
          <w:color w:val="222222"/>
        </w:rPr>
        <w:t>Электросетьэксплуатация</w:t>
      </w:r>
      <w:proofErr w:type="spellEnd"/>
      <w:r w:rsidRPr="0023070E">
        <w:rPr>
          <w:color w:val="222222"/>
        </w:rPr>
        <w:t>», АО «Сергиево-Посадская электросеть», ОАО «Красногорское предприятие электрических сетей», ОАО «Ремонтно-строительное предприятие», МУП «Электросеть» городского округа Домодедово денежные средства за счет тарифных источников освоены на 100%.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 xml:space="preserve">Наименьший процент освоения денежных средств за счет тарифа на передачу в ОАО «Одинцовская электросеть», МУП «Электрические сети Ступинского района», МУП «Серпуховская городская электрическая сеть», МУП «Электросеть» городского округа </w:t>
      </w:r>
      <w:proofErr w:type="spellStart"/>
      <w:r w:rsidRPr="0023070E">
        <w:rPr>
          <w:color w:val="222222"/>
        </w:rPr>
        <w:t>Климовска</w:t>
      </w:r>
      <w:proofErr w:type="spellEnd"/>
      <w:r w:rsidRPr="0023070E">
        <w:rPr>
          <w:color w:val="222222"/>
        </w:rPr>
        <w:t>. 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 xml:space="preserve">Министр энергетики Московской области Леонид </w:t>
      </w:r>
      <w:proofErr w:type="spellStart"/>
      <w:r w:rsidRPr="0023070E">
        <w:rPr>
          <w:color w:val="222222"/>
        </w:rPr>
        <w:t>Неганов</w:t>
      </w:r>
      <w:proofErr w:type="spellEnd"/>
      <w:r w:rsidRPr="0023070E">
        <w:rPr>
          <w:color w:val="222222"/>
        </w:rPr>
        <w:t>: «К основным причинам невыполнения инвестиционных программ можно отнести превышение установленного объема потерь электрической энергии над фактическими потерями, а также проблемы в части земельно-правовых отношений при согласовании с собственниками земельных участков проектов прохождения трасс линейных и размещения площадных объектов на территории муниципальных образований».</w:t>
      </w:r>
    </w:p>
    <w:p w:rsidR="00754438" w:rsidRPr="0023070E" w:rsidRDefault="00754438" w:rsidP="00754438">
      <w:pPr>
        <w:pStyle w:val="1"/>
        <w:shd w:val="clear" w:color="auto" w:fill="FFFFFF"/>
        <w:spacing w:before="0" w:beforeAutospacing="0" w:after="150" w:afterAutospacing="0" w:line="420" w:lineRule="atLeast"/>
        <w:textAlignment w:val="baseline"/>
        <w:rPr>
          <w:bCs w:val="0"/>
          <w:color w:val="222222"/>
          <w:sz w:val="28"/>
          <w:szCs w:val="28"/>
        </w:rPr>
      </w:pPr>
      <w:r w:rsidRPr="0023070E">
        <w:rPr>
          <w:bCs w:val="0"/>
          <w:color w:val="222222"/>
          <w:sz w:val="28"/>
          <w:szCs w:val="28"/>
        </w:rPr>
        <w:t>Мин</w:t>
      </w:r>
      <w:r>
        <w:rPr>
          <w:bCs w:val="0"/>
          <w:color w:val="222222"/>
          <w:sz w:val="28"/>
          <w:szCs w:val="28"/>
        </w:rPr>
        <w:t xml:space="preserve">энерго МО </w:t>
      </w:r>
      <w:r w:rsidRPr="0023070E">
        <w:rPr>
          <w:bCs w:val="0"/>
          <w:color w:val="222222"/>
          <w:sz w:val="28"/>
          <w:szCs w:val="28"/>
        </w:rPr>
        <w:t>держит на контроле вынос инженерных сетей из зоны строительства новой взлетно-посадочной полосы аэропорта Шереметьево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 xml:space="preserve">Министр энергетики Московской области Леонид </w:t>
      </w:r>
      <w:proofErr w:type="spellStart"/>
      <w:r w:rsidRPr="0023070E">
        <w:rPr>
          <w:color w:val="222222"/>
        </w:rPr>
        <w:t>Неганов</w:t>
      </w:r>
      <w:proofErr w:type="spellEnd"/>
      <w:r w:rsidRPr="0023070E">
        <w:rPr>
          <w:color w:val="222222"/>
        </w:rPr>
        <w:t xml:space="preserve"> 19 мая провел совещание по вопросу выноса инженерных сетей из зоны строительства комплекса новой взлетно-посадочной полосы – 3 (ВПП-3) международного аэропорта Шереметьево. 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>Комплекс ВПП-3 планируется разместить в Солнечногорском муниципальном районе Московской области на участке площадью 489 гектар. Длина взлетно-посадочной полосы составит 3200 метров, ширина — 60 метров. Ввести данный объект в эксплуатацию планируется в 2018 году.  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 xml:space="preserve">В настоящее время технические вопросы по выносу и переустройству </w:t>
      </w:r>
      <w:proofErr w:type="spellStart"/>
      <w:r w:rsidRPr="0023070E">
        <w:rPr>
          <w:color w:val="222222"/>
        </w:rPr>
        <w:t>нефте</w:t>
      </w:r>
      <w:proofErr w:type="spellEnd"/>
      <w:r w:rsidRPr="0023070E">
        <w:rPr>
          <w:color w:val="222222"/>
        </w:rPr>
        <w:t>- и газопроводов, линий электропередач отсутствуют, организациями «</w:t>
      </w:r>
      <w:proofErr w:type="spellStart"/>
      <w:r w:rsidRPr="0023070E">
        <w:rPr>
          <w:color w:val="222222"/>
        </w:rPr>
        <w:t>Транснефть</w:t>
      </w:r>
      <w:proofErr w:type="spellEnd"/>
      <w:r w:rsidRPr="0023070E">
        <w:rPr>
          <w:color w:val="222222"/>
        </w:rPr>
        <w:t xml:space="preserve"> – Верхняя Волга», «Газпром </w:t>
      </w:r>
      <w:proofErr w:type="spellStart"/>
      <w:r w:rsidRPr="0023070E">
        <w:rPr>
          <w:color w:val="222222"/>
        </w:rPr>
        <w:t>трансгаз</w:t>
      </w:r>
      <w:proofErr w:type="spellEnd"/>
      <w:r w:rsidRPr="0023070E">
        <w:rPr>
          <w:color w:val="222222"/>
        </w:rPr>
        <w:t xml:space="preserve"> Москва», «</w:t>
      </w:r>
      <w:proofErr w:type="spellStart"/>
      <w:r w:rsidRPr="0023070E">
        <w:rPr>
          <w:color w:val="222222"/>
        </w:rPr>
        <w:t>Мособлгаз</w:t>
      </w:r>
      <w:proofErr w:type="spellEnd"/>
      <w:r w:rsidRPr="0023070E">
        <w:rPr>
          <w:color w:val="222222"/>
        </w:rPr>
        <w:t>» и «МОЭСК» выданы соответствующие технические условия. 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>Вместе с тем, по информации заказчика строительства ФГУП «Администрация гражданских аэропортов», для своевременного проведения строительно-монтажных работ по ВПП-3 требуется решение ряда земельно-имущественных и юридических вопросов, находящихся в компетенции Федеральных органов исполнительной власти Российской Федерации.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 xml:space="preserve">«Учитывая особую социальную значимость своевременного ввода в эксплуатацию ВПП-3, мы организовали системную работу по выносу и переустройству указанных инженерных сетей в рамках работы рабочей группы, в состав которой входят все профильные министерства и ведомства Московской области», – отметил министр Леонид </w:t>
      </w:r>
      <w:proofErr w:type="spellStart"/>
      <w:r w:rsidRPr="0023070E">
        <w:rPr>
          <w:color w:val="222222"/>
        </w:rPr>
        <w:t>Неганов</w:t>
      </w:r>
      <w:proofErr w:type="spellEnd"/>
      <w:r w:rsidRPr="0023070E">
        <w:rPr>
          <w:color w:val="222222"/>
        </w:rPr>
        <w:t>.</w:t>
      </w:r>
    </w:p>
    <w:p w:rsidR="00754438" w:rsidRPr="0023070E" w:rsidRDefault="00754438" w:rsidP="00754438">
      <w:pPr>
        <w:pStyle w:val="1"/>
        <w:shd w:val="clear" w:color="auto" w:fill="FFFFFF"/>
        <w:spacing w:before="0" w:beforeAutospacing="0" w:after="150" w:afterAutospacing="0" w:line="420" w:lineRule="atLeast"/>
        <w:textAlignment w:val="baseline"/>
        <w:rPr>
          <w:bCs w:val="0"/>
          <w:color w:val="222222"/>
          <w:sz w:val="28"/>
          <w:szCs w:val="28"/>
        </w:rPr>
      </w:pPr>
      <w:r w:rsidRPr="0023070E">
        <w:rPr>
          <w:bCs w:val="0"/>
          <w:color w:val="222222"/>
          <w:sz w:val="28"/>
          <w:szCs w:val="28"/>
        </w:rPr>
        <w:t>В Подмосковье будет разработана типовая модель для расчета перспективных схем электроснабжения муниципальных образований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 xml:space="preserve">Формирование модели для расчета перспективной схемы электроснабжения муниципальных образований обсудили в министерстве энергетики Московской области. В совещании приняли участие представители МОЭСК и </w:t>
      </w:r>
      <w:proofErr w:type="spellStart"/>
      <w:r w:rsidRPr="0023070E">
        <w:rPr>
          <w:color w:val="222222"/>
        </w:rPr>
        <w:t>Мособлэнерго</w:t>
      </w:r>
      <w:proofErr w:type="spellEnd"/>
      <w:r w:rsidRPr="0023070E">
        <w:rPr>
          <w:color w:val="222222"/>
        </w:rPr>
        <w:t>.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lastRenderedPageBreak/>
        <w:t>Программы комплексного развития систем коммунальной инфраструктуры органами местного самоуправления поселений и городских округов разрабатывается на основании их генеральных планов.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 xml:space="preserve">В МОЭСК проводилась работа по разработке схем развития электрических сетей напряжением 6-20 кВ. В настоящее время расчетная модель и </w:t>
      </w:r>
      <w:proofErr w:type="spellStart"/>
      <w:r w:rsidRPr="0023070E">
        <w:rPr>
          <w:color w:val="222222"/>
        </w:rPr>
        <w:t>геоинформационная</w:t>
      </w:r>
      <w:proofErr w:type="spellEnd"/>
      <w:r w:rsidRPr="0023070E">
        <w:rPr>
          <w:color w:val="222222"/>
        </w:rPr>
        <w:t xml:space="preserve"> база отсутствуют, а расчеты проводятся специализированной организацией. Проводится работа по выбору специального программного обеспечения ведения государственного топографического мониторинга.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 xml:space="preserve">В </w:t>
      </w:r>
      <w:proofErr w:type="spellStart"/>
      <w:r w:rsidRPr="0023070E">
        <w:rPr>
          <w:color w:val="222222"/>
        </w:rPr>
        <w:t>Мособлэнерго</w:t>
      </w:r>
      <w:proofErr w:type="spellEnd"/>
      <w:r w:rsidRPr="0023070E">
        <w:rPr>
          <w:color w:val="222222"/>
        </w:rPr>
        <w:t xml:space="preserve"> используют совместимые программные продукты </w:t>
      </w:r>
      <w:proofErr w:type="spellStart"/>
      <w:r w:rsidRPr="0023070E">
        <w:rPr>
          <w:color w:val="222222"/>
        </w:rPr>
        <w:t>ArcGis</w:t>
      </w:r>
      <w:proofErr w:type="spellEnd"/>
      <w:r w:rsidRPr="0023070E">
        <w:rPr>
          <w:color w:val="222222"/>
        </w:rPr>
        <w:t xml:space="preserve"> (картографическое отображение) и Dplan2 (расчетная модель).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>В ходе заседания была отмечена необходимость формирования совместимой (типовой) модели для расчета перспективных схем электроснабжения муниципальных образований Московской области.</w:t>
      </w:r>
    </w:p>
    <w:p w:rsidR="00754438" w:rsidRPr="0023070E" w:rsidRDefault="00754438" w:rsidP="00754438">
      <w:pPr>
        <w:pStyle w:val="af2"/>
        <w:spacing w:before="0" w:beforeAutospacing="0" w:after="285" w:afterAutospacing="0"/>
        <w:jc w:val="both"/>
        <w:textAlignment w:val="baseline"/>
        <w:rPr>
          <w:color w:val="222222"/>
        </w:rPr>
      </w:pPr>
      <w:r w:rsidRPr="0023070E">
        <w:rPr>
          <w:color w:val="222222"/>
        </w:rPr>
        <w:t xml:space="preserve">«Мы рекомендовали МОЭСК и </w:t>
      </w:r>
      <w:proofErr w:type="spellStart"/>
      <w:r w:rsidRPr="0023070E">
        <w:rPr>
          <w:color w:val="222222"/>
        </w:rPr>
        <w:t>Мособлэнерго</w:t>
      </w:r>
      <w:proofErr w:type="spellEnd"/>
      <w:r w:rsidRPr="0023070E">
        <w:rPr>
          <w:color w:val="222222"/>
        </w:rPr>
        <w:t xml:space="preserve"> направить нам свои предложения для разработки программ комплексного развития системы электроэнергетики муниципальными образованиями Подмосковья и типовой модели для расчета перспективных схем электроснабжения, в том числе с указанием основных технических характеристик и преимуществ использования», – отметил министр энергетики Московской области Леонид </w:t>
      </w:r>
      <w:proofErr w:type="spellStart"/>
      <w:r w:rsidRPr="0023070E">
        <w:rPr>
          <w:color w:val="222222"/>
        </w:rPr>
        <w:t>Неганов</w:t>
      </w:r>
      <w:proofErr w:type="spellEnd"/>
      <w:r w:rsidRPr="0023070E">
        <w:rPr>
          <w:color w:val="222222"/>
        </w:rPr>
        <w:t>.</w:t>
      </w:r>
    </w:p>
    <w:p w:rsidR="00754438" w:rsidRDefault="00754438" w:rsidP="00754438">
      <w:pPr>
        <w:pStyle w:val="af2"/>
        <w:spacing w:before="0" w:beforeAutospacing="0" w:after="285" w:afterAutospacing="0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754438" w:rsidRPr="00461F82" w:rsidRDefault="00754438" w:rsidP="00754438">
      <w:pPr>
        <w:jc w:val="center"/>
        <w:rPr>
          <w:rFonts w:eastAsia="Times New Roman" w:cs="Times New Roman"/>
          <w:b/>
          <w:color w:val="222222"/>
          <w:kern w:val="36"/>
          <w:szCs w:val="28"/>
          <w:lang w:eastAsia="ru-RU"/>
        </w:rPr>
      </w:pPr>
    </w:p>
    <w:p w:rsidR="000D5827" w:rsidRDefault="000D5827" w:rsidP="00754438">
      <w:pPr>
        <w:jc w:val="center"/>
      </w:pPr>
    </w:p>
    <w:sectPr w:rsidR="000D5827" w:rsidSect="00C63CF9">
      <w:headerReference w:type="default" r:id="rId8"/>
      <w:pgSz w:w="11906" w:h="16838"/>
      <w:pgMar w:top="851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832" w:rsidRDefault="004C7832" w:rsidP="00750CCF">
      <w:pPr>
        <w:spacing w:line="240" w:lineRule="auto"/>
      </w:pPr>
      <w:r>
        <w:separator/>
      </w:r>
    </w:p>
  </w:endnote>
  <w:endnote w:type="continuationSeparator" w:id="1">
    <w:p w:rsidR="004C7832" w:rsidRDefault="004C7832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832" w:rsidRDefault="004C7832" w:rsidP="00750CCF">
      <w:pPr>
        <w:spacing w:line="240" w:lineRule="auto"/>
      </w:pPr>
      <w:r>
        <w:separator/>
      </w:r>
    </w:p>
  </w:footnote>
  <w:footnote w:type="continuationSeparator" w:id="1">
    <w:p w:rsidR="004C7832" w:rsidRDefault="004C7832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6386139"/>
      <w:docPartObj>
        <w:docPartGallery w:val="Page Numbers (Top of Page)"/>
        <w:docPartUnique/>
      </w:docPartObj>
    </w:sdtPr>
    <w:sdtContent>
      <w:p w:rsidR="002951A6" w:rsidRDefault="008339B1">
        <w:pPr>
          <w:pStyle w:val="ab"/>
          <w:jc w:val="center"/>
        </w:pPr>
        <w:r>
          <w:fldChar w:fldCharType="begin"/>
        </w:r>
        <w:r w:rsidR="002951A6">
          <w:instrText>PAGE   \* MERGEFORMAT</w:instrText>
        </w:r>
        <w:r>
          <w:fldChar w:fldCharType="separate"/>
        </w:r>
        <w:r w:rsidR="00091E9D">
          <w:rPr>
            <w:noProof/>
          </w:rPr>
          <w:t>1</w:t>
        </w:r>
        <w:r>
          <w:fldChar w:fldCharType="end"/>
        </w:r>
      </w:p>
    </w:sdtContent>
  </w:sdt>
  <w:p w:rsidR="002951A6" w:rsidRDefault="002951A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774"/>
    <w:multiLevelType w:val="hybridMultilevel"/>
    <w:tmpl w:val="497C9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81996"/>
    <w:multiLevelType w:val="hybridMultilevel"/>
    <w:tmpl w:val="A49C97BE"/>
    <w:lvl w:ilvl="0" w:tplc="7042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4129C"/>
    <w:multiLevelType w:val="hybridMultilevel"/>
    <w:tmpl w:val="4918B11A"/>
    <w:lvl w:ilvl="0" w:tplc="7042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2D00"/>
    <w:multiLevelType w:val="hybridMultilevel"/>
    <w:tmpl w:val="0EAC2F8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6663A"/>
    <w:multiLevelType w:val="hybridMultilevel"/>
    <w:tmpl w:val="6E16DDFC"/>
    <w:lvl w:ilvl="0" w:tplc="13D2E1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E3326C"/>
    <w:multiLevelType w:val="hybridMultilevel"/>
    <w:tmpl w:val="497C9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545AE"/>
    <w:multiLevelType w:val="multilevel"/>
    <w:tmpl w:val="37AC5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2F03276"/>
    <w:multiLevelType w:val="hybridMultilevel"/>
    <w:tmpl w:val="2B164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032CC"/>
    <w:multiLevelType w:val="hybridMultilevel"/>
    <w:tmpl w:val="FD2069A0"/>
    <w:lvl w:ilvl="0" w:tplc="7042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26181"/>
    <w:multiLevelType w:val="hybridMultilevel"/>
    <w:tmpl w:val="C9CE8088"/>
    <w:lvl w:ilvl="0" w:tplc="E6D40B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E21031"/>
    <w:multiLevelType w:val="hybridMultilevel"/>
    <w:tmpl w:val="B3A2FB48"/>
    <w:lvl w:ilvl="0" w:tplc="7042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122FD"/>
    <w:multiLevelType w:val="hybridMultilevel"/>
    <w:tmpl w:val="0738609E"/>
    <w:lvl w:ilvl="0" w:tplc="7042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A674E"/>
    <w:multiLevelType w:val="hybridMultilevel"/>
    <w:tmpl w:val="F182C6A6"/>
    <w:lvl w:ilvl="0" w:tplc="F282F9E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82F9E0"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8050C"/>
    <w:multiLevelType w:val="hybridMultilevel"/>
    <w:tmpl w:val="97DEC15C"/>
    <w:lvl w:ilvl="0" w:tplc="7042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946369"/>
    <w:multiLevelType w:val="hybridMultilevel"/>
    <w:tmpl w:val="A89287D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EA7590"/>
    <w:multiLevelType w:val="multilevel"/>
    <w:tmpl w:val="37AC5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0082EBA"/>
    <w:multiLevelType w:val="hybridMultilevel"/>
    <w:tmpl w:val="9118EDBE"/>
    <w:lvl w:ilvl="0" w:tplc="7042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33FFA"/>
    <w:multiLevelType w:val="hybridMultilevel"/>
    <w:tmpl w:val="20AE1E54"/>
    <w:lvl w:ilvl="0" w:tplc="7042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0199A"/>
    <w:multiLevelType w:val="hybridMultilevel"/>
    <w:tmpl w:val="E0C8FE94"/>
    <w:lvl w:ilvl="0" w:tplc="7042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A2680"/>
    <w:multiLevelType w:val="hybridMultilevel"/>
    <w:tmpl w:val="7F7AFA4E"/>
    <w:lvl w:ilvl="0" w:tplc="7042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0F2AB5"/>
    <w:multiLevelType w:val="hybridMultilevel"/>
    <w:tmpl w:val="2AE27582"/>
    <w:lvl w:ilvl="0" w:tplc="7042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10702"/>
    <w:multiLevelType w:val="hybridMultilevel"/>
    <w:tmpl w:val="F90CF854"/>
    <w:lvl w:ilvl="0" w:tplc="E6D4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21"/>
  </w:num>
  <w:num w:numId="8">
    <w:abstractNumId w:val="20"/>
  </w:num>
  <w:num w:numId="9">
    <w:abstractNumId w:val="2"/>
  </w:num>
  <w:num w:numId="10">
    <w:abstractNumId w:val="22"/>
  </w:num>
  <w:num w:numId="11">
    <w:abstractNumId w:val="1"/>
  </w:num>
  <w:num w:numId="12">
    <w:abstractNumId w:val="9"/>
  </w:num>
  <w:num w:numId="13">
    <w:abstractNumId w:val="14"/>
  </w:num>
  <w:num w:numId="14">
    <w:abstractNumId w:val="19"/>
  </w:num>
  <w:num w:numId="15">
    <w:abstractNumId w:val="23"/>
  </w:num>
  <w:num w:numId="16">
    <w:abstractNumId w:val="11"/>
  </w:num>
  <w:num w:numId="17">
    <w:abstractNumId w:val="3"/>
  </w:num>
  <w:num w:numId="18">
    <w:abstractNumId w:val="6"/>
  </w:num>
  <w:num w:numId="19">
    <w:abstractNumId w:val="24"/>
  </w:num>
  <w:num w:numId="20">
    <w:abstractNumId w:val="10"/>
  </w:num>
  <w:num w:numId="21">
    <w:abstractNumId w:val="0"/>
  </w:num>
  <w:num w:numId="22">
    <w:abstractNumId w:val="18"/>
  </w:num>
  <w:num w:numId="23">
    <w:abstractNumId w:val="13"/>
  </w:num>
  <w:num w:numId="24">
    <w:abstractNumId w:val="1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4F71DD"/>
    <w:rsid w:val="00005251"/>
    <w:rsid w:val="000172F8"/>
    <w:rsid w:val="000202F3"/>
    <w:rsid w:val="000278D4"/>
    <w:rsid w:val="0004333E"/>
    <w:rsid w:val="00050101"/>
    <w:rsid w:val="00065C34"/>
    <w:rsid w:val="00066A9E"/>
    <w:rsid w:val="00082CE0"/>
    <w:rsid w:val="00091E9D"/>
    <w:rsid w:val="00096CE6"/>
    <w:rsid w:val="000C1881"/>
    <w:rsid w:val="000C4793"/>
    <w:rsid w:val="000D172B"/>
    <w:rsid w:val="000D352B"/>
    <w:rsid w:val="000D5827"/>
    <w:rsid w:val="000E1CBB"/>
    <w:rsid w:val="00106D87"/>
    <w:rsid w:val="0011750D"/>
    <w:rsid w:val="001204E4"/>
    <w:rsid w:val="00147550"/>
    <w:rsid w:val="00170D9A"/>
    <w:rsid w:val="00172B45"/>
    <w:rsid w:val="00190B2E"/>
    <w:rsid w:val="001A4CCD"/>
    <w:rsid w:val="001B0781"/>
    <w:rsid w:val="001B2C5F"/>
    <w:rsid w:val="001B5D7F"/>
    <w:rsid w:val="001C565A"/>
    <w:rsid w:val="001D2A5E"/>
    <w:rsid w:val="001D3186"/>
    <w:rsid w:val="001F4C41"/>
    <w:rsid w:val="00210B78"/>
    <w:rsid w:val="00234B81"/>
    <w:rsid w:val="002440D1"/>
    <w:rsid w:val="002454F8"/>
    <w:rsid w:val="00252A29"/>
    <w:rsid w:val="00265CCB"/>
    <w:rsid w:val="00282EBA"/>
    <w:rsid w:val="00283C64"/>
    <w:rsid w:val="00291175"/>
    <w:rsid w:val="00293961"/>
    <w:rsid w:val="002951A6"/>
    <w:rsid w:val="002A0DD0"/>
    <w:rsid w:val="002A5808"/>
    <w:rsid w:val="002B2DDD"/>
    <w:rsid w:val="002B34E7"/>
    <w:rsid w:val="00327707"/>
    <w:rsid w:val="003321FD"/>
    <w:rsid w:val="0033407D"/>
    <w:rsid w:val="00334B86"/>
    <w:rsid w:val="0033737F"/>
    <w:rsid w:val="00352B74"/>
    <w:rsid w:val="003566B6"/>
    <w:rsid w:val="003617A4"/>
    <w:rsid w:val="003766E4"/>
    <w:rsid w:val="0038790E"/>
    <w:rsid w:val="0039004C"/>
    <w:rsid w:val="00396824"/>
    <w:rsid w:val="003976E7"/>
    <w:rsid w:val="003A5712"/>
    <w:rsid w:val="003A69FA"/>
    <w:rsid w:val="003B72A5"/>
    <w:rsid w:val="003C4CD4"/>
    <w:rsid w:val="003D6021"/>
    <w:rsid w:val="003E1441"/>
    <w:rsid w:val="003E5E56"/>
    <w:rsid w:val="003E6623"/>
    <w:rsid w:val="003F2D79"/>
    <w:rsid w:val="003F551C"/>
    <w:rsid w:val="00451021"/>
    <w:rsid w:val="004525E0"/>
    <w:rsid w:val="0045269B"/>
    <w:rsid w:val="00452D0B"/>
    <w:rsid w:val="004A3D55"/>
    <w:rsid w:val="004C7832"/>
    <w:rsid w:val="004D52B7"/>
    <w:rsid w:val="004D5C66"/>
    <w:rsid w:val="004E1476"/>
    <w:rsid w:val="004E1B7D"/>
    <w:rsid w:val="004F71DD"/>
    <w:rsid w:val="004F759F"/>
    <w:rsid w:val="00513B25"/>
    <w:rsid w:val="005173CF"/>
    <w:rsid w:val="0052285A"/>
    <w:rsid w:val="0053268D"/>
    <w:rsid w:val="00536950"/>
    <w:rsid w:val="005415A5"/>
    <w:rsid w:val="0055401D"/>
    <w:rsid w:val="00560A71"/>
    <w:rsid w:val="00562837"/>
    <w:rsid w:val="0058707C"/>
    <w:rsid w:val="00592579"/>
    <w:rsid w:val="00597E37"/>
    <w:rsid w:val="00597F44"/>
    <w:rsid w:val="005A63EA"/>
    <w:rsid w:val="005B4D22"/>
    <w:rsid w:val="00624214"/>
    <w:rsid w:val="00635418"/>
    <w:rsid w:val="006574C9"/>
    <w:rsid w:val="00657CBF"/>
    <w:rsid w:val="00660D24"/>
    <w:rsid w:val="00696CB5"/>
    <w:rsid w:val="006A24C9"/>
    <w:rsid w:val="006A48A1"/>
    <w:rsid w:val="006A5448"/>
    <w:rsid w:val="006D3511"/>
    <w:rsid w:val="00701C19"/>
    <w:rsid w:val="00727666"/>
    <w:rsid w:val="00733460"/>
    <w:rsid w:val="00733718"/>
    <w:rsid w:val="007427E9"/>
    <w:rsid w:val="00750CCF"/>
    <w:rsid w:val="00754438"/>
    <w:rsid w:val="0076730F"/>
    <w:rsid w:val="00784423"/>
    <w:rsid w:val="007D1D0A"/>
    <w:rsid w:val="007D1E03"/>
    <w:rsid w:val="007E2275"/>
    <w:rsid w:val="007F2EDF"/>
    <w:rsid w:val="007F7664"/>
    <w:rsid w:val="00811492"/>
    <w:rsid w:val="00823924"/>
    <w:rsid w:val="008264AC"/>
    <w:rsid w:val="00832E1E"/>
    <w:rsid w:val="008339B1"/>
    <w:rsid w:val="008425F1"/>
    <w:rsid w:val="00846BBE"/>
    <w:rsid w:val="00847E39"/>
    <w:rsid w:val="008528BE"/>
    <w:rsid w:val="0085317A"/>
    <w:rsid w:val="00857137"/>
    <w:rsid w:val="00866467"/>
    <w:rsid w:val="00886150"/>
    <w:rsid w:val="00886A6B"/>
    <w:rsid w:val="00896250"/>
    <w:rsid w:val="008967A9"/>
    <w:rsid w:val="008978DF"/>
    <w:rsid w:val="00897A9A"/>
    <w:rsid w:val="008B33AF"/>
    <w:rsid w:val="008D2553"/>
    <w:rsid w:val="008D5698"/>
    <w:rsid w:val="00900FE9"/>
    <w:rsid w:val="00937D50"/>
    <w:rsid w:val="00957B95"/>
    <w:rsid w:val="009657E9"/>
    <w:rsid w:val="009677E7"/>
    <w:rsid w:val="0097252E"/>
    <w:rsid w:val="00975919"/>
    <w:rsid w:val="00976D63"/>
    <w:rsid w:val="00976EFE"/>
    <w:rsid w:val="009951DA"/>
    <w:rsid w:val="00995A29"/>
    <w:rsid w:val="00996825"/>
    <w:rsid w:val="009B1AF2"/>
    <w:rsid w:val="009C567F"/>
    <w:rsid w:val="009D5CB5"/>
    <w:rsid w:val="009E7990"/>
    <w:rsid w:val="009F501D"/>
    <w:rsid w:val="009F5350"/>
    <w:rsid w:val="00A06A12"/>
    <w:rsid w:val="00A2535A"/>
    <w:rsid w:val="00A44FED"/>
    <w:rsid w:val="00A5495D"/>
    <w:rsid w:val="00A941D0"/>
    <w:rsid w:val="00A94599"/>
    <w:rsid w:val="00A973FC"/>
    <w:rsid w:val="00AB07EE"/>
    <w:rsid w:val="00AC5F2E"/>
    <w:rsid w:val="00AD6291"/>
    <w:rsid w:val="00AE20BB"/>
    <w:rsid w:val="00AE4417"/>
    <w:rsid w:val="00AE6496"/>
    <w:rsid w:val="00AF1256"/>
    <w:rsid w:val="00B158D0"/>
    <w:rsid w:val="00B22BDB"/>
    <w:rsid w:val="00B47CB0"/>
    <w:rsid w:val="00B53622"/>
    <w:rsid w:val="00B62989"/>
    <w:rsid w:val="00BA3184"/>
    <w:rsid w:val="00BB0F40"/>
    <w:rsid w:val="00BC6990"/>
    <w:rsid w:val="00BE0AAC"/>
    <w:rsid w:val="00BE14B7"/>
    <w:rsid w:val="00BE28CB"/>
    <w:rsid w:val="00C061FA"/>
    <w:rsid w:val="00C135E4"/>
    <w:rsid w:val="00C1576C"/>
    <w:rsid w:val="00C32770"/>
    <w:rsid w:val="00C414AF"/>
    <w:rsid w:val="00C43D12"/>
    <w:rsid w:val="00C63CF9"/>
    <w:rsid w:val="00C641E1"/>
    <w:rsid w:val="00C6580E"/>
    <w:rsid w:val="00C65BD6"/>
    <w:rsid w:val="00C67ACD"/>
    <w:rsid w:val="00CB16BB"/>
    <w:rsid w:val="00CB2B92"/>
    <w:rsid w:val="00CD3B63"/>
    <w:rsid w:val="00CD7937"/>
    <w:rsid w:val="00CE7365"/>
    <w:rsid w:val="00D07237"/>
    <w:rsid w:val="00D23544"/>
    <w:rsid w:val="00D32183"/>
    <w:rsid w:val="00D33CA9"/>
    <w:rsid w:val="00D410E5"/>
    <w:rsid w:val="00D41F9E"/>
    <w:rsid w:val="00D518D3"/>
    <w:rsid w:val="00D5299E"/>
    <w:rsid w:val="00D52CD0"/>
    <w:rsid w:val="00D55C59"/>
    <w:rsid w:val="00D6103D"/>
    <w:rsid w:val="00D71CFF"/>
    <w:rsid w:val="00D80B0A"/>
    <w:rsid w:val="00D861BA"/>
    <w:rsid w:val="00D93D22"/>
    <w:rsid w:val="00DB2CAC"/>
    <w:rsid w:val="00DC543C"/>
    <w:rsid w:val="00DD0156"/>
    <w:rsid w:val="00E04571"/>
    <w:rsid w:val="00E2275B"/>
    <w:rsid w:val="00E2646D"/>
    <w:rsid w:val="00E322D9"/>
    <w:rsid w:val="00E71E11"/>
    <w:rsid w:val="00E72AA1"/>
    <w:rsid w:val="00E73FAE"/>
    <w:rsid w:val="00E81AD7"/>
    <w:rsid w:val="00E85A97"/>
    <w:rsid w:val="00E978A9"/>
    <w:rsid w:val="00ED031F"/>
    <w:rsid w:val="00ED12BE"/>
    <w:rsid w:val="00EF783D"/>
    <w:rsid w:val="00F20A3E"/>
    <w:rsid w:val="00F224A4"/>
    <w:rsid w:val="00F35C46"/>
    <w:rsid w:val="00F463E8"/>
    <w:rsid w:val="00F62F73"/>
    <w:rsid w:val="00F63C1D"/>
    <w:rsid w:val="00F64A98"/>
    <w:rsid w:val="00F90858"/>
    <w:rsid w:val="00F90F7E"/>
    <w:rsid w:val="00FA2DAC"/>
    <w:rsid w:val="00FB17C2"/>
    <w:rsid w:val="00FB2A52"/>
    <w:rsid w:val="00FC314D"/>
    <w:rsid w:val="00FF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paragraph" w:styleId="1">
    <w:name w:val="heading 1"/>
    <w:basedOn w:val="a"/>
    <w:link w:val="10"/>
    <w:uiPriority w:val="9"/>
    <w:qFormat/>
    <w:rsid w:val="0075443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750CCF"/>
  </w:style>
  <w:style w:type="paragraph" w:styleId="ad">
    <w:name w:val="footer"/>
    <w:basedOn w:val="a"/>
    <w:link w:val="ae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rsid w:val="00050101"/>
    <w:rPr>
      <w:color w:val="808080"/>
    </w:rPr>
  </w:style>
  <w:style w:type="character" w:styleId="af1">
    <w:name w:val="Hyperlink"/>
    <w:uiPriority w:val="99"/>
    <w:rsid w:val="0097252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9725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4438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yrkina\AppData\Local\Microsoft\Windows\Temporary%20Internet%20Files\Content.Outlook\0E3FCE9M\&#1041;&#1083;&#1072;&#1085;&#1082;%20&#1087;&#1080;&#1089;&#1100;&#1084;&#1072;%20&#1052;&#1080;&#1085;&#1080;&#1089;&#1090;&#1088;%20&#1101;&#1085;&#1077;&#1088;&#1075;&#1077;&#1090;&#1080;&#1082;&#1080;%20&#1052;&#1054;%20(&#1096;&#1072;&#1073;&#1083;&#1086;&#1085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F68C2"/>
    <w:rsid w:val="000A4061"/>
    <w:rsid w:val="00104C7F"/>
    <w:rsid w:val="001568AA"/>
    <w:rsid w:val="00156C74"/>
    <w:rsid w:val="001B0A3B"/>
    <w:rsid w:val="0027243A"/>
    <w:rsid w:val="004B502A"/>
    <w:rsid w:val="004F68C2"/>
    <w:rsid w:val="00556C91"/>
    <w:rsid w:val="00737CB7"/>
    <w:rsid w:val="007C5DDA"/>
    <w:rsid w:val="007C77EA"/>
    <w:rsid w:val="00820BDE"/>
    <w:rsid w:val="008A4717"/>
    <w:rsid w:val="008B394B"/>
    <w:rsid w:val="009D1238"/>
    <w:rsid w:val="00AF1B2E"/>
    <w:rsid w:val="00BD303D"/>
    <w:rsid w:val="00C0380C"/>
    <w:rsid w:val="00DD454E"/>
    <w:rsid w:val="00DF7AEE"/>
    <w:rsid w:val="00F11F06"/>
    <w:rsid w:val="00F143C0"/>
    <w:rsid w:val="00F34257"/>
    <w:rsid w:val="00F716DF"/>
    <w:rsid w:val="00F73B97"/>
    <w:rsid w:val="00FD3695"/>
    <w:rsid w:val="00FF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4257"/>
    <w:rPr>
      <w:color w:val="808080"/>
    </w:rPr>
  </w:style>
  <w:style w:type="paragraph" w:customStyle="1" w:styleId="8DE09517149A4C4594149CE892A8023E">
    <w:name w:val="8DE09517149A4C4594149CE892A8023E"/>
    <w:rsid w:val="00DF7AEE"/>
  </w:style>
  <w:style w:type="paragraph" w:customStyle="1" w:styleId="353B562A02DD4ED6B4191F6ED9C7E741">
    <w:name w:val="353B562A02DD4ED6B4191F6ED9C7E741"/>
    <w:rsid w:val="00DF7AEE"/>
  </w:style>
  <w:style w:type="paragraph" w:customStyle="1" w:styleId="FC76A82FAA1D43AD9D7DA430BB10DAC4">
    <w:name w:val="FC76A82FAA1D43AD9D7DA430BB10DAC4"/>
    <w:rsid w:val="00DF7AEE"/>
  </w:style>
  <w:style w:type="paragraph" w:customStyle="1" w:styleId="CA3225AD9E79472DA7F409E25537F3C9">
    <w:name w:val="CA3225AD9E79472DA7F409E25537F3C9"/>
    <w:rsid w:val="00DF7AEE"/>
  </w:style>
  <w:style w:type="paragraph" w:customStyle="1" w:styleId="D327595888F04A408838403B9CA172CC">
    <w:name w:val="D327595888F04A408838403B9CA172CC"/>
    <w:rsid w:val="00DF7AEE"/>
  </w:style>
  <w:style w:type="paragraph" w:customStyle="1" w:styleId="C19E37515DD444C1923EF2FF2FC14780">
    <w:name w:val="C19E37515DD444C1923EF2FF2FC14780"/>
    <w:rsid w:val="00DF7AEE"/>
  </w:style>
  <w:style w:type="paragraph" w:customStyle="1" w:styleId="C86B63C8FE02429A9BBAE2E4A6B44DFA">
    <w:name w:val="C86B63C8FE02429A9BBAE2E4A6B44DFA"/>
    <w:rsid w:val="00DF7AEE"/>
  </w:style>
  <w:style w:type="paragraph" w:customStyle="1" w:styleId="02A0065261EA446A81858727F0182002">
    <w:name w:val="02A0065261EA446A81858727F0182002"/>
    <w:rsid w:val="00F34257"/>
    <w:pPr>
      <w:spacing w:after="160" w:line="259" w:lineRule="auto"/>
    </w:pPr>
  </w:style>
  <w:style w:type="paragraph" w:customStyle="1" w:styleId="DBF4FAD86C5E4FEA826F645465365A60">
    <w:name w:val="DBF4FAD86C5E4FEA826F645465365A60"/>
    <w:rsid w:val="00F34257"/>
    <w:pPr>
      <w:spacing w:after="160" w:line="259" w:lineRule="auto"/>
    </w:pPr>
  </w:style>
  <w:style w:type="paragraph" w:customStyle="1" w:styleId="51157BC4ABF149D595AC59760EE45C64">
    <w:name w:val="51157BC4ABF149D595AC59760EE45C64"/>
    <w:rsid w:val="00F34257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886B-BEE4-4E47-AE8E-0AEA63EF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Министр энергетики МО (шаблон).dotx</Template>
  <TotalTime>2</TotalTime>
  <Pages>4</Pages>
  <Words>1524</Words>
  <Characters>8691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Количество заявлений о выдаче разрешения на размещение объектов энергетической и</vt:lpstr>
      <vt:lpstr>В Минэнерго МО началось детальное рассмотрение 540 значимых для региона объектов</vt:lpstr>
      <vt:lpstr>1637 светильников установят в военных городках в 2016 году</vt:lpstr>
      <vt:lpstr>Минэнерго МО провело работу с 31 муниципальным образованием по улучшению ситуаци</vt:lpstr>
      <vt:lpstr>988,2 МВА трансформаторной мощности ввели ТСО Московской области в 2015 году</vt:lpstr>
      <vt:lpstr>Минэнерго МО держит на контроле вынос инженерных сетей из зоны строительства нов</vt:lpstr>
      <vt:lpstr>В Подмосковье будет разработана типовая модель для расчета перспективных схем эл</vt:lpstr>
    </vt:vector>
  </TitlesOfParts>
  <Company>Hewlett-Packard Company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Тыркина</dc:creator>
  <cp:lastModifiedBy>Сервер</cp:lastModifiedBy>
  <cp:revision>3</cp:revision>
  <cp:lastPrinted>2016-04-21T12:50:00Z</cp:lastPrinted>
  <dcterms:created xsi:type="dcterms:W3CDTF">2016-05-26T06:26:00Z</dcterms:created>
  <dcterms:modified xsi:type="dcterms:W3CDTF">2016-05-30T09:36:00Z</dcterms:modified>
</cp:coreProperties>
</file>